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2022年江苏省网络安全宣传创意大赛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征集启事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为深入宣传贯彻习近平总书记关于网络强国的重要思想，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切实做好常态化网络安全宣传教育，提升全民网络安全意识和防护能力，有效引导全社会力量共筑网络安全防线，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省委网信办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组织开展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2022年江苏省网络安全宣传创意大赛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，向社会公开征集网络安全宣传教育的创意作品。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、征集时间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即日起至2022年8月20日。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征集主题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网络安全为人民，网络安全靠人民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活动组织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主办单位：江苏省委网信办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、征集对象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关注网络安全的个人、机构、团体。鼓励网信、工信、通信、公安等网络安全相关监管部门，网络运营者和行业主管部门，学校、企业、社会机构，传媒、新闻单位，发挥自身优势，积极参与创作。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五、作品类型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</w:rPr>
        <w:t>文字类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题目自拟，主题鲜明，杜绝抄袭；体裁包含宣传标语、三行诗、微小说等；字数20至1000字。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  <w:t>平面类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创意独特、构思新颖，具有良好的感染力和视觉效果，适合网络传播。类型包含海报、漫画、长图等，格式为jpg，分辨率不低于720p（适合印刷）。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六、作品要求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品内容设计应围绕校园、电信、法治、金融、青少年、数据安全和个人信息保护等主题，以提高群众网络安全意识、普及网络安全知识和防护技能、宣传网络安全政策法规和工作成效等为目的，贴近群众日常生活和关注点，能够起到宣传、警示、教育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作品须为原创，如涉及著作权、版权、知识产权、名誉权等相关问题，责任由作者自负。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每个创作主体每类限报送一件（或一个系列）作品，如提交同类多件作品，以最先收到的符合要求的作品为成功应征作品。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七、提交方式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登录“新江苏”客户端，点击底部“E起拍”版块，点击活动栏目，点击“2022年江苏省网络安全宣传创意大赛”活动主题，提交作品。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八、评选奖励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评选办法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主办方将邀请相关领域专家组成评委会，对征集作品按照分类进行评选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，获奖作品给予一定金额奖励，颁发获奖证书，并在活动官方网站和省内重点媒体上展播。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主办方将根据网络安全宣传工作需要，择优采用征集的作品进行网络安全公益宣传。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二）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奖项设置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eastAsia="方正仿宋_GBK" w:cs="Times New Roman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文字类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一等奖1名，2000元</w:t>
      </w:r>
      <w:r>
        <w:rPr>
          <w:rFonts w:hint="eastAsia" w:eastAsia="方正仿宋_GBK" w:cs="Times New Roman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二等奖3名，1000元/个</w:t>
      </w:r>
      <w:r>
        <w:rPr>
          <w:rFonts w:hint="eastAsia" w:eastAsia="方正仿宋_GBK" w:cs="Times New Roman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三等奖5名，600元/个</w:t>
      </w:r>
      <w:r>
        <w:rPr>
          <w:rFonts w:hint="eastAsia" w:eastAsia="方正仿宋_GBK" w:cs="Times New Roman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优秀奖若干名，颁发优秀奖状</w:t>
      </w:r>
      <w:r>
        <w:rPr>
          <w:rFonts w:hint="eastAsia" w:eastAsia="方正仿宋_GBK" w:cs="Times New Roman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平面类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一等奖，成人组、少儿组各1名，2000元/个</w:t>
      </w:r>
      <w:r>
        <w:rPr>
          <w:rFonts w:hint="eastAsia" w:eastAsia="方正仿宋_GBK" w:cs="Times New Roman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二等奖，成人组、少儿组各2名，1000元/个</w:t>
      </w:r>
      <w:r>
        <w:rPr>
          <w:rFonts w:hint="eastAsia" w:eastAsia="方正仿宋_GBK" w:cs="Times New Roman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三等奖，成人组、少儿组各3名，600元/个</w:t>
      </w:r>
      <w:r>
        <w:rPr>
          <w:rFonts w:hint="eastAsia" w:eastAsia="方正仿宋_GBK" w:cs="Times New Roman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优秀奖若干名，颁发优秀奖状</w:t>
      </w:r>
      <w:r>
        <w:rPr>
          <w:rFonts w:hint="eastAsia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九、活动声明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应征作品的著作权受法律保护，主办方、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承办方及其运营的媒体矩阵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对全部作品具有免费使用权，不承担肖像权、名誉权、隐私权、著作权、商标权等产权纠纷而产生的法律责任，如出现上述纠纷，主办方保留取消及追回奖项的权利。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应征作品一经送达，即视为创作主体已全部知晓并完全接受本征集启事相关规则。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主办方对本次征集活动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拥有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最终解释权。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B52CCF"/>
    <w:multiLevelType w:val="singleLevel"/>
    <w:tmpl w:val="7DB52CC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